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562" w:type="dxa"/>
        <w:tblLook w:val="04A0" w:firstRow="1" w:lastRow="0" w:firstColumn="1" w:lastColumn="0" w:noHBand="0" w:noVBand="1"/>
      </w:tblPr>
      <w:tblGrid>
        <w:gridCol w:w="1701"/>
        <w:gridCol w:w="3119"/>
      </w:tblGrid>
      <w:tr w:rsidR="005922DA" w14:paraId="593847DC" w14:textId="77777777" w:rsidTr="005922DA">
        <w:trPr>
          <w:trHeight w:val="315"/>
        </w:trPr>
        <w:tc>
          <w:tcPr>
            <w:tcW w:w="1701" w:type="dxa"/>
            <w:tcBorders>
              <w:top w:val="single" w:sz="4" w:space="0" w:color="auto"/>
              <w:left w:val="single" w:sz="4" w:space="0" w:color="auto"/>
              <w:bottom w:val="single" w:sz="4" w:space="0" w:color="auto"/>
              <w:right w:val="single" w:sz="4" w:space="0" w:color="auto"/>
            </w:tcBorders>
            <w:vAlign w:val="center"/>
            <w:hideMark/>
          </w:tcPr>
          <w:p w14:paraId="507E2CD7" w14:textId="77777777" w:rsidR="005922DA" w:rsidRPr="005922DA" w:rsidRDefault="005922DA">
            <w:pPr>
              <w:rPr>
                <w:rFonts w:asciiTheme="minorHAnsi" w:hAnsiTheme="minorHAnsi" w:cstheme="minorHAnsi"/>
                <w:b/>
                <w:bCs/>
                <w:sz w:val="22"/>
                <w:szCs w:val="22"/>
              </w:rPr>
            </w:pPr>
            <w:r w:rsidRPr="005922DA">
              <w:rPr>
                <w:rFonts w:cstheme="minorHAnsi"/>
                <w:b/>
                <w:bCs/>
                <w:sz w:val="22"/>
                <w:szCs w:val="22"/>
              </w:rPr>
              <w:t>Agenda Item</w:t>
            </w:r>
          </w:p>
        </w:tc>
        <w:tc>
          <w:tcPr>
            <w:tcW w:w="3119" w:type="dxa"/>
            <w:tcBorders>
              <w:top w:val="single" w:sz="4" w:space="0" w:color="auto"/>
              <w:left w:val="single" w:sz="4" w:space="0" w:color="auto"/>
              <w:bottom w:val="single" w:sz="4" w:space="0" w:color="auto"/>
              <w:right w:val="single" w:sz="4" w:space="0" w:color="auto"/>
            </w:tcBorders>
            <w:vAlign w:val="center"/>
            <w:hideMark/>
          </w:tcPr>
          <w:p w14:paraId="138B11D8" w14:textId="598E36B3" w:rsidR="005922DA" w:rsidRPr="005922DA" w:rsidRDefault="005922DA">
            <w:pPr>
              <w:rPr>
                <w:rFonts w:cstheme="minorHAnsi"/>
                <w:sz w:val="22"/>
                <w:szCs w:val="22"/>
              </w:rPr>
            </w:pPr>
            <w:r w:rsidRPr="005922DA">
              <w:rPr>
                <w:rFonts w:cstheme="minorHAnsi"/>
                <w:sz w:val="22"/>
                <w:szCs w:val="22"/>
              </w:rPr>
              <w:t>1</w:t>
            </w:r>
            <w:r w:rsidRPr="005922DA">
              <w:rPr>
                <w:rFonts w:cstheme="minorHAnsi"/>
                <w:sz w:val="22"/>
                <w:szCs w:val="22"/>
              </w:rPr>
              <w:t>0</w:t>
            </w:r>
          </w:p>
        </w:tc>
      </w:tr>
      <w:tr w:rsidR="005922DA" w14:paraId="4762CE75" w14:textId="77777777" w:rsidTr="005922DA">
        <w:trPr>
          <w:trHeight w:val="315"/>
        </w:trPr>
        <w:tc>
          <w:tcPr>
            <w:tcW w:w="1701" w:type="dxa"/>
            <w:tcBorders>
              <w:top w:val="single" w:sz="4" w:space="0" w:color="auto"/>
              <w:left w:val="single" w:sz="4" w:space="0" w:color="auto"/>
              <w:bottom w:val="single" w:sz="4" w:space="0" w:color="auto"/>
              <w:right w:val="single" w:sz="4" w:space="0" w:color="auto"/>
            </w:tcBorders>
            <w:vAlign w:val="center"/>
            <w:hideMark/>
          </w:tcPr>
          <w:p w14:paraId="5F29AC32" w14:textId="77777777" w:rsidR="005922DA" w:rsidRPr="005922DA" w:rsidRDefault="005922DA">
            <w:pPr>
              <w:rPr>
                <w:rFonts w:cstheme="minorHAnsi"/>
                <w:b/>
                <w:bCs/>
                <w:sz w:val="22"/>
                <w:szCs w:val="22"/>
              </w:rPr>
            </w:pPr>
            <w:r w:rsidRPr="005922DA">
              <w:rPr>
                <w:rFonts w:cstheme="minorHAnsi"/>
                <w:b/>
                <w:bCs/>
                <w:sz w:val="22"/>
                <w:szCs w:val="22"/>
              </w:rPr>
              <w:t>Subject</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CBFDBDE" w14:textId="6899BF6D" w:rsidR="005922DA" w:rsidRPr="005922DA" w:rsidRDefault="005922DA">
            <w:pPr>
              <w:rPr>
                <w:rFonts w:cstheme="minorHAnsi"/>
                <w:color w:val="auto"/>
                <w:sz w:val="22"/>
                <w:szCs w:val="22"/>
              </w:rPr>
            </w:pPr>
            <w:r w:rsidRPr="005922DA">
              <w:rPr>
                <w:rFonts w:cstheme="minorHAnsi"/>
                <w:sz w:val="22"/>
                <w:szCs w:val="22"/>
              </w:rPr>
              <w:t>Traffic Project</w:t>
            </w:r>
          </w:p>
        </w:tc>
      </w:tr>
      <w:tr w:rsidR="005922DA" w14:paraId="57D52042" w14:textId="77777777" w:rsidTr="005922DA">
        <w:trPr>
          <w:trHeight w:val="315"/>
        </w:trPr>
        <w:tc>
          <w:tcPr>
            <w:tcW w:w="1701" w:type="dxa"/>
            <w:tcBorders>
              <w:top w:val="single" w:sz="4" w:space="0" w:color="auto"/>
              <w:left w:val="single" w:sz="4" w:space="0" w:color="auto"/>
              <w:bottom w:val="single" w:sz="4" w:space="0" w:color="auto"/>
              <w:right w:val="single" w:sz="4" w:space="0" w:color="auto"/>
            </w:tcBorders>
            <w:vAlign w:val="center"/>
            <w:hideMark/>
          </w:tcPr>
          <w:p w14:paraId="34972D2E" w14:textId="77777777" w:rsidR="005922DA" w:rsidRPr="005922DA" w:rsidRDefault="005922DA">
            <w:pPr>
              <w:rPr>
                <w:rFonts w:cstheme="minorHAnsi"/>
                <w:b/>
                <w:bCs/>
                <w:sz w:val="22"/>
                <w:szCs w:val="22"/>
              </w:rPr>
            </w:pPr>
            <w:r w:rsidRPr="005922DA">
              <w:rPr>
                <w:rFonts w:cstheme="minorHAnsi"/>
                <w:b/>
                <w:bCs/>
                <w:sz w:val="22"/>
                <w:szCs w:val="22"/>
              </w:rPr>
              <w:t>Author</w:t>
            </w:r>
          </w:p>
        </w:tc>
        <w:tc>
          <w:tcPr>
            <w:tcW w:w="3119" w:type="dxa"/>
            <w:tcBorders>
              <w:top w:val="single" w:sz="4" w:space="0" w:color="auto"/>
              <w:left w:val="single" w:sz="4" w:space="0" w:color="auto"/>
              <w:bottom w:val="single" w:sz="4" w:space="0" w:color="auto"/>
              <w:right w:val="single" w:sz="4" w:space="0" w:color="auto"/>
            </w:tcBorders>
            <w:vAlign w:val="center"/>
            <w:hideMark/>
          </w:tcPr>
          <w:p w14:paraId="26AD0CE9" w14:textId="521F435A" w:rsidR="005922DA" w:rsidRPr="005922DA" w:rsidRDefault="005922DA">
            <w:pPr>
              <w:rPr>
                <w:rFonts w:cstheme="minorHAnsi"/>
                <w:sz w:val="22"/>
                <w:szCs w:val="22"/>
              </w:rPr>
            </w:pPr>
            <w:r w:rsidRPr="005922DA">
              <w:rPr>
                <w:rFonts w:cstheme="minorHAnsi"/>
                <w:sz w:val="22"/>
                <w:szCs w:val="22"/>
              </w:rPr>
              <w:t>Traffic Working Party</w:t>
            </w:r>
          </w:p>
        </w:tc>
      </w:tr>
      <w:tr w:rsidR="005922DA" w14:paraId="1B06CD6B" w14:textId="77777777" w:rsidTr="005922DA">
        <w:trPr>
          <w:trHeight w:val="315"/>
        </w:trPr>
        <w:tc>
          <w:tcPr>
            <w:tcW w:w="1701" w:type="dxa"/>
            <w:tcBorders>
              <w:top w:val="single" w:sz="4" w:space="0" w:color="auto"/>
              <w:left w:val="single" w:sz="4" w:space="0" w:color="auto"/>
              <w:bottom w:val="single" w:sz="4" w:space="0" w:color="auto"/>
              <w:right w:val="single" w:sz="4" w:space="0" w:color="auto"/>
            </w:tcBorders>
            <w:vAlign w:val="center"/>
            <w:hideMark/>
          </w:tcPr>
          <w:p w14:paraId="2643671C" w14:textId="77777777" w:rsidR="005922DA" w:rsidRPr="005922DA" w:rsidRDefault="005922DA">
            <w:pPr>
              <w:rPr>
                <w:rFonts w:cstheme="minorHAnsi"/>
                <w:b/>
                <w:bCs/>
                <w:sz w:val="22"/>
                <w:szCs w:val="22"/>
              </w:rPr>
            </w:pPr>
            <w:r w:rsidRPr="005922DA">
              <w:rPr>
                <w:rFonts w:cstheme="minorHAnsi"/>
                <w:b/>
                <w:bCs/>
                <w:sz w:val="22"/>
                <w:szCs w:val="22"/>
              </w:rPr>
              <w:t>Date</w:t>
            </w:r>
          </w:p>
        </w:tc>
        <w:tc>
          <w:tcPr>
            <w:tcW w:w="3119" w:type="dxa"/>
            <w:tcBorders>
              <w:top w:val="single" w:sz="4" w:space="0" w:color="auto"/>
              <w:left w:val="single" w:sz="4" w:space="0" w:color="auto"/>
              <w:bottom w:val="single" w:sz="4" w:space="0" w:color="auto"/>
              <w:right w:val="single" w:sz="4" w:space="0" w:color="auto"/>
            </w:tcBorders>
            <w:vAlign w:val="center"/>
            <w:hideMark/>
          </w:tcPr>
          <w:p w14:paraId="02D75C91" w14:textId="3BF52CE7" w:rsidR="005922DA" w:rsidRPr="005922DA" w:rsidRDefault="005922DA">
            <w:pPr>
              <w:rPr>
                <w:rFonts w:cstheme="minorHAnsi"/>
                <w:sz w:val="22"/>
                <w:szCs w:val="22"/>
              </w:rPr>
            </w:pPr>
            <w:r w:rsidRPr="005922DA">
              <w:rPr>
                <w:rFonts w:cstheme="minorHAnsi"/>
                <w:sz w:val="22"/>
                <w:szCs w:val="22"/>
              </w:rPr>
              <w:t>17/10</w:t>
            </w:r>
            <w:r w:rsidRPr="005922DA">
              <w:rPr>
                <w:rFonts w:cstheme="minorHAnsi"/>
                <w:sz w:val="22"/>
                <w:szCs w:val="22"/>
              </w:rPr>
              <w:t>/2023</w:t>
            </w:r>
          </w:p>
        </w:tc>
      </w:tr>
    </w:tbl>
    <w:p w14:paraId="02BC186F" w14:textId="77777777" w:rsidR="005922DA" w:rsidRDefault="005922DA" w:rsidP="00841009">
      <w:pPr>
        <w:autoSpaceDE w:val="0"/>
        <w:autoSpaceDN w:val="0"/>
        <w:adjustRightInd w:val="0"/>
        <w:ind w:left="567" w:hanging="567"/>
      </w:pPr>
    </w:p>
    <w:p w14:paraId="54AFE810" w14:textId="050216DF" w:rsidR="00841009" w:rsidRPr="00841009" w:rsidRDefault="00841009" w:rsidP="00841009">
      <w:pPr>
        <w:pStyle w:val="ListParagraph"/>
        <w:numPr>
          <w:ilvl w:val="0"/>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Recommended traffic calming options</w:t>
      </w:r>
      <w:r w:rsidRPr="00841009">
        <w:rPr>
          <w:rFonts w:asciiTheme="minorHAnsi" w:hAnsiTheme="minorHAnsi" w:cstheme="minorHAnsi"/>
          <w:color w:val="000000"/>
          <w:sz w:val="22"/>
          <w:szCs w:val="22"/>
          <w:lang w:eastAsia="en-US"/>
        </w:rPr>
        <w:t xml:space="preserve"> from the Independent Traffic Engineer’s report are listed in paragraph 5.4 of the report.  The Working Group went through each of the points and have grouped them in the following categories:</w:t>
      </w:r>
    </w:p>
    <w:p w14:paraId="0AA8DB47" w14:textId="77777777" w:rsidR="00841009" w:rsidRDefault="00841009" w:rsidP="00841009">
      <w:pPr>
        <w:autoSpaceDE w:val="0"/>
        <w:autoSpaceDN w:val="0"/>
        <w:adjustRightInd w:val="0"/>
        <w:ind w:left="567" w:hanging="567"/>
        <w:rPr>
          <w:rFonts w:asciiTheme="minorHAnsi" w:hAnsiTheme="minorHAnsi" w:cstheme="minorHAnsi"/>
          <w:color w:val="000000"/>
          <w:sz w:val="22"/>
          <w:szCs w:val="22"/>
          <w:lang w:eastAsia="en-US"/>
        </w:rPr>
      </w:pPr>
    </w:p>
    <w:p w14:paraId="0B7D8EBB" w14:textId="31F942E5" w:rsidR="00841009" w:rsidRPr="00841009" w:rsidRDefault="00841009" w:rsidP="00841009">
      <w:pPr>
        <w:pStyle w:val="ListParagraph"/>
        <w:numPr>
          <w:ilvl w:val="0"/>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Recommended items to consider in ‘phase one’ to discuss with key stakeholders and investigate in more detail and to look and costings to carry out:</w:t>
      </w:r>
    </w:p>
    <w:p w14:paraId="28B69499" w14:textId="1FCCC5EA" w:rsidR="00841009" w:rsidRPr="00841009" w:rsidRDefault="00841009" w:rsidP="00841009">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Proposed 30mph speed restrictions to be moved northwards on the A28 when exiting the</w:t>
      </w:r>
      <w:r w:rsidRPr="00841009">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village to the north</w:t>
      </w:r>
      <w:r w:rsidR="005922DA">
        <w:rPr>
          <w:rFonts w:asciiTheme="minorHAnsi" w:hAnsiTheme="minorHAnsi" w:cstheme="minorHAnsi"/>
          <w:color w:val="000000"/>
          <w:sz w:val="22"/>
          <w:szCs w:val="22"/>
          <w:lang w:eastAsia="en-US"/>
        </w:rPr>
        <w:t>.</w:t>
      </w:r>
    </w:p>
    <w:p w14:paraId="73C910F9" w14:textId="3278CB57" w:rsidR="00841009" w:rsidRPr="00841009" w:rsidRDefault="00841009" w:rsidP="00841009">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Village gateway sign to be installed from the southern end of the A28 as you are entering</w:t>
      </w:r>
      <w:r w:rsidRPr="00841009">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Westfield village from Westfield Lane</w:t>
      </w:r>
      <w:r w:rsidR="005922DA">
        <w:rPr>
          <w:rFonts w:asciiTheme="minorHAnsi" w:hAnsiTheme="minorHAnsi" w:cstheme="minorHAnsi"/>
          <w:color w:val="000000"/>
          <w:sz w:val="22"/>
          <w:szCs w:val="22"/>
          <w:lang w:eastAsia="en-US"/>
        </w:rPr>
        <w:t>.</w:t>
      </w:r>
    </w:p>
    <w:p w14:paraId="039D2742" w14:textId="0EE80159" w:rsidR="00841009" w:rsidRDefault="00841009" w:rsidP="00841009">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Village gateway sign to be installed at the northern end of Westfield village along the A28</w:t>
      </w:r>
      <w:r w:rsidR="005922DA">
        <w:rPr>
          <w:rFonts w:asciiTheme="minorHAnsi" w:hAnsiTheme="minorHAnsi" w:cstheme="minorHAnsi"/>
          <w:color w:val="000000"/>
          <w:sz w:val="22"/>
          <w:szCs w:val="22"/>
          <w:lang w:eastAsia="en-US"/>
        </w:rPr>
        <w:t>.</w:t>
      </w:r>
    </w:p>
    <w:p w14:paraId="4D5275A4" w14:textId="0E07D76D" w:rsidR="00841009" w:rsidRPr="00841009" w:rsidRDefault="00841009" w:rsidP="00841009">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Implementation of a ‘School Safety Zone’ outside of the school. This involves the repainting of</w:t>
      </w:r>
      <w:r>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the zebra crossing, introduction of zig-zag markings, extension of the railings along this</w:t>
      </w:r>
      <w:r>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section of road, the old bus shelter removed and the removal of the hedge/verge to implement</w:t>
      </w:r>
      <w:r>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a larger waiting area for parents when accessing the school and for the school entrance to be</w:t>
      </w:r>
      <w:r>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rediverted</w:t>
      </w:r>
      <w:r w:rsidR="005922DA">
        <w:rPr>
          <w:rFonts w:asciiTheme="minorHAnsi" w:hAnsiTheme="minorHAnsi" w:cstheme="minorHAnsi"/>
          <w:color w:val="000000"/>
          <w:sz w:val="22"/>
          <w:szCs w:val="22"/>
          <w:lang w:eastAsia="en-US"/>
        </w:rPr>
        <w:t>.</w:t>
      </w:r>
    </w:p>
    <w:p w14:paraId="0083356B" w14:textId="1042C806" w:rsidR="00841009" w:rsidRDefault="00841009" w:rsidP="00841009">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Change of road pavement colour to distinguish between different speed zones. This includes</w:t>
      </w:r>
      <w:r>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anti-skid roundels.</w:t>
      </w:r>
    </w:p>
    <w:p w14:paraId="3DA17EAE" w14:textId="77777777" w:rsidR="00841009" w:rsidRPr="00841009" w:rsidRDefault="00841009" w:rsidP="00841009">
      <w:pPr>
        <w:pStyle w:val="ListParagraph"/>
        <w:autoSpaceDE w:val="0"/>
        <w:autoSpaceDN w:val="0"/>
        <w:adjustRightInd w:val="0"/>
        <w:ind w:left="1134"/>
        <w:rPr>
          <w:rFonts w:asciiTheme="minorHAnsi" w:hAnsiTheme="minorHAnsi" w:cstheme="minorHAnsi"/>
          <w:color w:val="000000"/>
          <w:sz w:val="22"/>
          <w:szCs w:val="22"/>
          <w:lang w:eastAsia="en-US"/>
        </w:rPr>
      </w:pPr>
    </w:p>
    <w:p w14:paraId="1CB92FE0" w14:textId="77777777" w:rsidR="00841009" w:rsidRDefault="00841009" w:rsidP="00841009">
      <w:pPr>
        <w:pStyle w:val="ListParagraph"/>
        <w:numPr>
          <w:ilvl w:val="0"/>
          <w:numId w:val="1"/>
        </w:numPr>
        <w:autoSpaceDE w:val="0"/>
        <w:autoSpaceDN w:val="0"/>
        <w:adjustRightInd w:val="0"/>
        <w:rPr>
          <w:rFonts w:asciiTheme="minorHAnsi" w:hAnsiTheme="minorHAnsi" w:cstheme="minorHAnsi"/>
          <w:color w:val="000000"/>
          <w:sz w:val="22"/>
          <w:szCs w:val="22"/>
          <w:lang w:eastAsia="en-US"/>
        </w:rPr>
      </w:pPr>
      <w:r>
        <w:rPr>
          <w:rFonts w:asciiTheme="minorHAnsi" w:hAnsiTheme="minorHAnsi" w:cstheme="minorHAnsi"/>
          <w:color w:val="000000"/>
          <w:sz w:val="22"/>
          <w:szCs w:val="22"/>
          <w:lang w:eastAsia="en-US"/>
        </w:rPr>
        <w:t>Recommended items to look at in detail at a later stage and to consider potential implementation in phases two and three based on further questions and costings.</w:t>
      </w:r>
    </w:p>
    <w:p w14:paraId="409E3CD1" w14:textId="2E711A2F" w:rsidR="00841009" w:rsidRPr="00841009" w:rsidRDefault="00841009" w:rsidP="00841009">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Installation of a pinch point adjacent to the church which acts as a speed reduction measure</w:t>
      </w:r>
      <w:r>
        <w:rPr>
          <w:rFonts w:asciiTheme="minorHAnsi" w:hAnsiTheme="minorHAnsi" w:cstheme="minorHAnsi"/>
          <w:color w:val="000000"/>
          <w:sz w:val="22"/>
          <w:szCs w:val="22"/>
          <w:lang w:eastAsia="en-US"/>
        </w:rPr>
        <w:t xml:space="preserve"> </w:t>
      </w:r>
      <w:r w:rsidRPr="00841009">
        <w:rPr>
          <w:rFonts w:asciiTheme="minorHAnsi" w:hAnsiTheme="minorHAnsi" w:cstheme="minorHAnsi"/>
          <w:color w:val="000000"/>
          <w:sz w:val="22"/>
          <w:szCs w:val="22"/>
          <w:lang w:eastAsia="en-US"/>
        </w:rPr>
        <w:t>and provides a safer crossing point</w:t>
      </w:r>
      <w:r w:rsidR="005922DA">
        <w:rPr>
          <w:rFonts w:asciiTheme="minorHAnsi" w:hAnsiTheme="minorHAnsi" w:cstheme="minorHAnsi"/>
          <w:color w:val="000000"/>
          <w:sz w:val="22"/>
          <w:szCs w:val="22"/>
          <w:lang w:eastAsia="en-US"/>
        </w:rPr>
        <w:t>. The working groups raised several concerns about the visibility and positioning of this point.  It was noted a build out might be better suited further into the village but would require further feasibility questions raised.</w:t>
      </w:r>
    </w:p>
    <w:p w14:paraId="52EFD2DA" w14:textId="77777777" w:rsidR="005922DA" w:rsidRDefault="00841009" w:rsidP="005922DA">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841009">
        <w:rPr>
          <w:rFonts w:asciiTheme="minorHAnsi" w:hAnsiTheme="minorHAnsi" w:cstheme="minorHAnsi"/>
          <w:color w:val="000000"/>
          <w:sz w:val="22"/>
          <w:szCs w:val="22"/>
          <w:lang w:eastAsia="en-US"/>
        </w:rPr>
        <w:t xml:space="preserve">Proposed </w:t>
      </w:r>
      <w:proofErr w:type="gramStart"/>
      <w:r w:rsidRPr="00841009">
        <w:rPr>
          <w:rFonts w:asciiTheme="minorHAnsi" w:hAnsiTheme="minorHAnsi" w:cstheme="minorHAnsi"/>
          <w:color w:val="000000"/>
          <w:sz w:val="22"/>
          <w:szCs w:val="22"/>
          <w:lang w:eastAsia="en-US"/>
        </w:rPr>
        <w:t>mini-roundabout</w:t>
      </w:r>
      <w:proofErr w:type="gramEnd"/>
      <w:r w:rsidRPr="00841009">
        <w:rPr>
          <w:rFonts w:asciiTheme="minorHAnsi" w:hAnsiTheme="minorHAnsi" w:cstheme="minorHAnsi"/>
          <w:color w:val="000000"/>
          <w:sz w:val="22"/>
          <w:szCs w:val="22"/>
          <w:lang w:eastAsia="en-US"/>
        </w:rPr>
        <w:t xml:space="preserve"> at the Wheel Lane/Moor Lane crossroads</w:t>
      </w:r>
      <w:r w:rsidR="005922DA">
        <w:rPr>
          <w:rFonts w:asciiTheme="minorHAnsi" w:hAnsiTheme="minorHAnsi" w:cstheme="minorHAnsi"/>
          <w:color w:val="000000"/>
          <w:sz w:val="22"/>
          <w:szCs w:val="22"/>
          <w:lang w:eastAsia="en-US"/>
        </w:rPr>
        <w:t xml:space="preserve">.  In reviewing the matter there was concern about the level of visibility of such an intervention especially at night.  Councillors questioned if </w:t>
      </w:r>
      <w:r w:rsidR="005922DA" w:rsidRPr="005922DA">
        <w:rPr>
          <w:rFonts w:asciiTheme="minorHAnsi" w:hAnsiTheme="minorHAnsi" w:cstheme="minorHAnsi"/>
          <w:color w:val="000000"/>
          <w:sz w:val="22"/>
          <w:szCs w:val="22"/>
          <w:lang w:eastAsia="en-US"/>
        </w:rPr>
        <w:t>the site would be better reviewed with greater visibility and potential lighting onto the site to ensure drivers</w:t>
      </w:r>
      <w:r w:rsidR="005922DA">
        <w:rPr>
          <w:rFonts w:asciiTheme="minorHAnsi" w:hAnsiTheme="minorHAnsi" w:cstheme="minorHAnsi"/>
          <w:color w:val="000000"/>
          <w:sz w:val="22"/>
          <w:szCs w:val="22"/>
          <w:lang w:eastAsia="en-US"/>
        </w:rPr>
        <w:t>,</w:t>
      </w:r>
      <w:r w:rsidR="005922DA" w:rsidRPr="005922DA">
        <w:rPr>
          <w:rFonts w:asciiTheme="minorHAnsi" w:hAnsiTheme="minorHAnsi" w:cstheme="minorHAnsi"/>
          <w:color w:val="000000"/>
          <w:sz w:val="22"/>
          <w:szCs w:val="22"/>
          <w:lang w:eastAsia="en-US"/>
        </w:rPr>
        <w:t xml:space="preserve"> especially those unfamiliar with the area can see the roundabout.</w:t>
      </w:r>
    </w:p>
    <w:p w14:paraId="7EBE23E7" w14:textId="271104BF" w:rsidR="00841009" w:rsidRPr="005922DA" w:rsidRDefault="00841009" w:rsidP="005922DA">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5922DA">
        <w:rPr>
          <w:rFonts w:asciiTheme="minorHAnsi" w:hAnsiTheme="minorHAnsi" w:cstheme="minorHAnsi"/>
          <w:color w:val="000000"/>
          <w:sz w:val="22"/>
          <w:szCs w:val="22"/>
          <w:lang w:eastAsia="en-US"/>
        </w:rPr>
        <w:t>Widening and resurfacing of footways throughout the village centre</w:t>
      </w:r>
      <w:r w:rsidR="005922DA" w:rsidRPr="005922DA">
        <w:rPr>
          <w:rFonts w:asciiTheme="minorHAnsi" w:hAnsiTheme="minorHAnsi" w:cstheme="minorHAnsi"/>
          <w:color w:val="000000"/>
          <w:sz w:val="22"/>
          <w:szCs w:val="22"/>
          <w:lang w:eastAsia="en-US"/>
        </w:rPr>
        <w:t xml:space="preserve">.  The councillors considered this and </w:t>
      </w:r>
      <w:proofErr w:type="gramStart"/>
      <w:r w:rsidR="005922DA" w:rsidRPr="005922DA">
        <w:rPr>
          <w:rFonts w:asciiTheme="minorHAnsi" w:hAnsiTheme="minorHAnsi" w:cstheme="minorHAnsi"/>
          <w:color w:val="000000"/>
          <w:sz w:val="22"/>
          <w:szCs w:val="22"/>
          <w:lang w:eastAsia="en-US"/>
        </w:rPr>
        <w:t>realise</w:t>
      </w:r>
      <w:proofErr w:type="gramEnd"/>
      <w:r w:rsidR="005922DA" w:rsidRPr="005922DA">
        <w:rPr>
          <w:rFonts w:asciiTheme="minorHAnsi" w:hAnsiTheme="minorHAnsi" w:cstheme="minorHAnsi"/>
          <w:color w:val="000000"/>
          <w:sz w:val="22"/>
          <w:szCs w:val="22"/>
          <w:lang w:eastAsia="en-US"/>
        </w:rPr>
        <w:t xml:space="preserve"> that this would be a suitable way to increase safety for those using footpaths particularly where they are narrow. </w:t>
      </w:r>
      <w:proofErr w:type="gramStart"/>
      <w:r w:rsidR="005922DA" w:rsidRPr="005922DA">
        <w:rPr>
          <w:rFonts w:asciiTheme="minorHAnsi" w:hAnsiTheme="minorHAnsi" w:cstheme="minorHAnsi"/>
          <w:color w:val="000000"/>
          <w:sz w:val="22"/>
          <w:szCs w:val="22"/>
          <w:lang w:eastAsia="en-US"/>
        </w:rPr>
        <w:t>However</w:t>
      </w:r>
      <w:proofErr w:type="gramEnd"/>
      <w:r w:rsidR="005922DA" w:rsidRPr="005922DA">
        <w:rPr>
          <w:rFonts w:asciiTheme="minorHAnsi" w:hAnsiTheme="minorHAnsi" w:cstheme="minorHAnsi"/>
          <w:color w:val="000000"/>
          <w:sz w:val="22"/>
          <w:szCs w:val="22"/>
          <w:lang w:eastAsia="en-US"/>
        </w:rPr>
        <w:t xml:space="preserve"> councillors were also concerned the viability of being able to widen the footpaths and the potential costs of carrying out such </w:t>
      </w:r>
      <w:proofErr w:type="spellStart"/>
      <w:r w:rsidR="005922DA" w:rsidRPr="005922DA">
        <w:rPr>
          <w:rFonts w:asciiTheme="minorHAnsi" w:hAnsiTheme="minorHAnsi" w:cstheme="minorHAnsi"/>
          <w:color w:val="000000"/>
          <w:sz w:val="22"/>
          <w:szCs w:val="22"/>
          <w:lang w:eastAsia="en-US"/>
        </w:rPr>
        <w:t>at</w:t>
      </w:r>
      <w:proofErr w:type="spellEnd"/>
      <w:r w:rsidR="005922DA" w:rsidRPr="005922DA">
        <w:rPr>
          <w:rFonts w:asciiTheme="minorHAnsi" w:hAnsiTheme="minorHAnsi" w:cstheme="minorHAnsi"/>
          <w:color w:val="000000"/>
          <w:sz w:val="22"/>
          <w:szCs w:val="22"/>
          <w:lang w:eastAsia="en-US"/>
        </w:rPr>
        <w:t xml:space="preserve"> scheme. There is also issue of land ownership and </w:t>
      </w:r>
      <w:proofErr w:type="gramStart"/>
      <w:r w:rsidR="005922DA" w:rsidRPr="005922DA">
        <w:rPr>
          <w:rFonts w:asciiTheme="minorHAnsi" w:hAnsiTheme="minorHAnsi" w:cstheme="minorHAnsi"/>
          <w:color w:val="000000"/>
          <w:sz w:val="22"/>
          <w:szCs w:val="22"/>
          <w:lang w:eastAsia="en-US"/>
        </w:rPr>
        <w:t>where</w:t>
      </w:r>
      <w:proofErr w:type="gramEnd"/>
      <w:r w:rsidR="005922DA" w:rsidRPr="005922DA">
        <w:rPr>
          <w:rFonts w:asciiTheme="minorHAnsi" w:hAnsiTheme="minorHAnsi" w:cstheme="minorHAnsi"/>
          <w:color w:val="000000"/>
          <w:sz w:val="22"/>
          <w:szCs w:val="22"/>
          <w:lang w:eastAsia="en-US"/>
        </w:rPr>
        <w:t xml:space="preserve"> put as could be widened there would not infringe the width of the road itself. Vast a useful consideration further work and serious costings would need to be gathered before the parish council could consider this as a potential traffic calming feature.</w:t>
      </w:r>
    </w:p>
    <w:p w14:paraId="281653C5" w14:textId="77777777" w:rsidR="00841009" w:rsidRPr="00841009" w:rsidRDefault="00841009" w:rsidP="00841009">
      <w:pPr>
        <w:pStyle w:val="ListParagraph"/>
        <w:ind w:left="567"/>
        <w:rPr>
          <w:rFonts w:asciiTheme="minorHAnsi" w:hAnsiTheme="minorHAnsi" w:cstheme="minorHAnsi"/>
          <w:sz w:val="22"/>
          <w:szCs w:val="22"/>
        </w:rPr>
      </w:pPr>
    </w:p>
    <w:p w14:paraId="735BF6F4" w14:textId="1324B839" w:rsidR="00841009" w:rsidRDefault="005922DA" w:rsidP="00841009">
      <w:pPr>
        <w:pStyle w:val="ListParagraph"/>
        <w:numPr>
          <w:ilvl w:val="0"/>
          <w:numId w:val="1"/>
        </w:numPr>
        <w:autoSpaceDE w:val="0"/>
        <w:autoSpaceDN w:val="0"/>
        <w:adjustRightInd w:val="0"/>
        <w:rPr>
          <w:rFonts w:asciiTheme="minorHAnsi" w:hAnsiTheme="minorHAnsi" w:cstheme="minorHAnsi"/>
          <w:color w:val="000000"/>
          <w:sz w:val="22"/>
          <w:szCs w:val="22"/>
          <w:lang w:eastAsia="en-US"/>
        </w:rPr>
      </w:pPr>
      <w:r w:rsidRPr="005922DA">
        <w:rPr>
          <w:rFonts w:asciiTheme="minorHAnsi" w:hAnsiTheme="minorHAnsi" w:cstheme="minorHAnsi"/>
          <w:color w:val="000000"/>
          <w:sz w:val="22"/>
          <w:szCs w:val="22"/>
          <w:lang w:eastAsia="en-US"/>
        </w:rPr>
        <w:t>Councillors look at the proposal for the d</w:t>
      </w:r>
      <w:r w:rsidR="00841009" w:rsidRPr="005922DA">
        <w:rPr>
          <w:rFonts w:asciiTheme="minorHAnsi" w:hAnsiTheme="minorHAnsi" w:cstheme="minorHAnsi"/>
          <w:color w:val="000000"/>
          <w:sz w:val="22"/>
          <w:szCs w:val="22"/>
          <w:lang w:eastAsia="en-US"/>
        </w:rPr>
        <w:t>ouble yellow lines to be implemented around the junctions of the Wheel Lane/Moor Lane</w:t>
      </w:r>
      <w:r w:rsidRPr="005922DA">
        <w:rPr>
          <w:rFonts w:asciiTheme="minorHAnsi" w:hAnsiTheme="minorHAnsi" w:cstheme="minorHAnsi"/>
          <w:color w:val="000000"/>
          <w:sz w:val="22"/>
          <w:szCs w:val="22"/>
          <w:lang w:eastAsia="en-US"/>
        </w:rPr>
        <w:t xml:space="preserve"> </w:t>
      </w:r>
      <w:r w:rsidR="00841009" w:rsidRPr="005922DA">
        <w:rPr>
          <w:rFonts w:asciiTheme="minorHAnsi" w:hAnsiTheme="minorHAnsi" w:cstheme="minorHAnsi"/>
          <w:color w:val="000000"/>
          <w:sz w:val="22"/>
          <w:szCs w:val="22"/>
          <w:lang w:eastAsia="en-US"/>
        </w:rPr>
        <w:t>crossroads and the Cottage Lane/Workhouse Lane crossroads (15m into the side roads)</w:t>
      </w:r>
      <w:r>
        <w:rPr>
          <w:rFonts w:asciiTheme="minorHAnsi" w:hAnsiTheme="minorHAnsi" w:cstheme="minorHAnsi"/>
          <w:color w:val="000000"/>
          <w:sz w:val="22"/>
          <w:szCs w:val="22"/>
          <w:lang w:eastAsia="en-US"/>
        </w:rPr>
        <w:t xml:space="preserve">.  </w:t>
      </w:r>
      <w:r w:rsidRPr="005922DA">
        <w:rPr>
          <w:rFonts w:asciiTheme="minorHAnsi" w:hAnsiTheme="minorHAnsi" w:cstheme="minorHAnsi"/>
          <w:color w:val="000000"/>
          <w:sz w:val="22"/>
          <w:szCs w:val="22"/>
          <w:lang w:eastAsia="en-US"/>
        </w:rPr>
        <w:t>It was noted that these double yellow lines would be installed following the yellow line consultation from East Sussex County Council.</w:t>
      </w:r>
    </w:p>
    <w:p w14:paraId="39E9086B" w14:textId="77777777" w:rsidR="005922DA" w:rsidRDefault="005922DA" w:rsidP="005922DA">
      <w:pPr>
        <w:pStyle w:val="ListParagraph"/>
        <w:autoSpaceDE w:val="0"/>
        <w:autoSpaceDN w:val="0"/>
        <w:adjustRightInd w:val="0"/>
        <w:ind w:left="567"/>
        <w:rPr>
          <w:rFonts w:asciiTheme="minorHAnsi" w:hAnsiTheme="minorHAnsi" w:cstheme="minorHAnsi"/>
          <w:color w:val="000000"/>
          <w:sz w:val="22"/>
          <w:szCs w:val="22"/>
          <w:lang w:eastAsia="en-US"/>
        </w:rPr>
      </w:pPr>
    </w:p>
    <w:p w14:paraId="15CE07E7" w14:textId="0AA2B981" w:rsidR="005922DA" w:rsidRPr="005922DA" w:rsidRDefault="005922DA" w:rsidP="00841009">
      <w:pPr>
        <w:pStyle w:val="ListParagraph"/>
        <w:numPr>
          <w:ilvl w:val="0"/>
          <w:numId w:val="1"/>
        </w:numPr>
        <w:autoSpaceDE w:val="0"/>
        <w:autoSpaceDN w:val="0"/>
        <w:adjustRightInd w:val="0"/>
        <w:rPr>
          <w:rFonts w:asciiTheme="minorHAnsi" w:hAnsiTheme="minorHAnsi" w:cstheme="minorHAnsi"/>
          <w:b/>
          <w:bCs/>
          <w:color w:val="000000"/>
          <w:sz w:val="22"/>
          <w:szCs w:val="22"/>
          <w:lang w:eastAsia="en-US"/>
        </w:rPr>
      </w:pPr>
      <w:r w:rsidRPr="005922DA">
        <w:rPr>
          <w:rFonts w:asciiTheme="minorHAnsi" w:hAnsiTheme="minorHAnsi" w:cstheme="minorHAnsi"/>
          <w:b/>
          <w:bCs/>
          <w:color w:val="000000"/>
          <w:sz w:val="22"/>
          <w:szCs w:val="22"/>
          <w:lang w:eastAsia="en-US"/>
        </w:rPr>
        <w:t xml:space="preserve">Resolutions for Full Council </w:t>
      </w:r>
    </w:p>
    <w:p w14:paraId="31F94E2C" w14:textId="77777777" w:rsidR="005922DA" w:rsidRPr="005922DA" w:rsidRDefault="005922DA" w:rsidP="005922DA">
      <w:pPr>
        <w:pStyle w:val="ListParagraph"/>
        <w:numPr>
          <w:ilvl w:val="1"/>
          <w:numId w:val="1"/>
        </w:numPr>
        <w:autoSpaceDE w:val="0"/>
        <w:autoSpaceDN w:val="0"/>
        <w:adjustRightInd w:val="0"/>
        <w:rPr>
          <w:rFonts w:asciiTheme="minorHAnsi" w:hAnsiTheme="minorHAnsi" w:cstheme="minorHAnsi"/>
          <w:color w:val="000000"/>
          <w:sz w:val="22"/>
          <w:szCs w:val="22"/>
          <w:lang w:eastAsia="en-US"/>
        </w:rPr>
      </w:pPr>
      <w:r w:rsidRPr="005922DA">
        <w:rPr>
          <w:rFonts w:asciiTheme="minorHAnsi" w:hAnsiTheme="minorHAnsi" w:cstheme="minorHAnsi"/>
          <w:color w:val="000000"/>
          <w:sz w:val="22"/>
          <w:szCs w:val="22"/>
          <w:lang w:eastAsia="en-US"/>
        </w:rPr>
        <w:t xml:space="preserve">Councillors are asked to resolve actions listed under phase </w:t>
      </w:r>
      <w:r>
        <w:rPr>
          <w:rFonts w:asciiTheme="minorHAnsi" w:hAnsiTheme="minorHAnsi" w:cstheme="minorHAnsi"/>
          <w:color w:val="000000"/>
          <w:sz w:val="22"/>
          <w:szCs w:val="22"/>
          <w:lang w:eastAsia="en-US"/>
        </w:rPr>
        <w:t>one.</w:t>
      </w:r>
    </w:p>
    <w:p w14:paraId="45A03C0E" w14:textId="1A460692" w:rsidR="00841009" w:rsidRPr="005922DA" w:rsidRDefault="005922DA" w:rsidP="003E3BC1">
      <w:pPr>
        <w:pStyle w:val="ListParagraph"/>
        <w:numPr>
          <w:ilvl w:val="1"/>
          <w:numId w:val="1"/>
        </w:numPr>
        <w:autoSpaceDE w:val="0"/>
        <w:autoSpaceDN w:val="0"/>
        <w:adjustRightInd w:val="0"/>
        <w:rPr>
          <w:rFonts w:asciiTheme="minorHAnsi" w:hAnsiTheme="minorHAnsi" w:cstheme="minorHAnsi"/>
          <w:sz w:val="22"/>
          <w:szCs w:val="22"/>
        </w:rPr>
      </w:pPr>
      <w:r w:rsidRPr="005922DA">
        <w:rPr>
          <w:rFonts w:asciiTheme="minorHAnsi" w:hAnsiTheme="minorHAnsi" w:cstheme="minorHAnsi"/>
          <w:color w:val="000000"/>
          <w:sz w:val="22"/>
          <w:szCs w:val="22"/>
          <w:lang w:eastAsia="en-US"/>
        </w:rPr>
        <w:t xml:space="preserve">Councillors are asked to resolve actions listed under phases two and three for consideration </w:t>
      </w:r>
      <w:proofErr w:type="gramStart"/>
      <w:r w:rsidRPr="005922DA">
        <w:rPr>
          <w:rFonts w:asciiTheme="minorHAnsi" w:hAnsiTheme="minorHAnsi" w:cstheme="minorHAnsi"/>
          <w:color w:val="000000"/>
          <w:sz w:val="22"/>
          <w:szCs w:val="22"/>
          <w:lang w:eastAsia="en-US"/>
        </w:rPr>
        <w:t>at a later date</w:t>
      </w:r>
      <w:proofErr w:type="gramEnd"/>
      <w:r w:rsidRPr="005922DA">
        <w:rPr>
          <w:rFonts w:asciiTheme="minorHAnsi" w:hAnsiTheme="minorHAnsi" w:cstheme="minorHAnsi"/>
          <w:color w:val="000000"/>
          <w:sz w:val="22"/>
          <w:szCs w:val="22"/>
          <w:lang w:eastAsia="en-US"/>
        </w:rPr>
        <w:t>.</w:t>
      </w:r>
    </w:p>
    <w:sectPr w:rsidR="00841009" w:rsidRPr="005922DA" w:rsidSect="00841009">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E54B86"/>
    <w:multiLevelType w:val="hybridMultilevel"/>
    <w:tmpl w:val="D626EF4E"/>
    <w:lvl w:ilvl="0" w:tplc="B9D6E940">
      <w:numFmt w:val="bullet"/>
      <w:lvlText w:val="•"/>
      <w:lvlJc w:val="left"/>
      <w:pPr>
        <w:ind w:left="720" w:hanging="360"/>
      </w:pPr>
      <w:rPr>
        <w:rFonts w:ascii="Calibri" w:eastAsia="Times New Roman" w:hAnsi="Calibri" w:cs="Calibri" w:hint="default"/>
        <w:color w:val="0E748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F320896"/>
    <w:multiLevelType w:val="multilevel"/>
    <w:tmpl w:val="8ABE23D4"/>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858930584">
    <w:abstractNumId w:val="1"/>
  </w:num>
  <w:num w:numId="2" w16cid:durableId="541479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009"/>
    <w:rsid w:val="000A5F38"/>
    <w:rsid w:val="005922DA"/>
    <w:rsid w:val="00841009"/>
    <w:rsid w:val="00D40B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9348"/>
  <w15:chartTrackingRefBased/>
  <w15:docId w15:val="{E4B3A36F-636B-4771-B243-968077A49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F38"/>
    <w:rPr>
      <w:rFonts w:ascii="Calibri" w:hAnsi="Calibri" w:cs="Times New Roman"/>
      <w:color w:val="000000" w:themeColor="text1"/>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1009"/>
    <w:pPr>
      <w:ind w:left="720"/>
      <w:contextualSpacing/>
    </w:pPr>
  </w:style>
  <w:style w:type="table" w:styleId="TableGrid">
    <w:name w:val="Table Grid"/>
    <w:basedOn w:val="TableNormal"/>
    <w:uiPriority w:val="39"/>
    <w:rsid w:val="005922DA"/>
    <w:rPr>
      <w:rFonts w:eastAsiaTheme="minorHAns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78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E1D565-C1B8-4F19-87CC-B74C3BCC67A3}"/>
</file>

<file path=customXml/itemProps2.xml><?xml version="1.0" encoding="utf-8"?>
<ds:datastoreItem xmlns:ds="http://schemas.openxmlformats.org/officeDocument/2006/customXml" ds:itemID="{BF63D84E-0B81-488F-B091-CD4731937EE1}"/>
</file>

<file path=customXml/itemProps3.xml><?xml version="1.0" encoding="utf-8"?>
<ds:datastoreItem xmlns:ds="http://schemas.openxmlformats.org/officeDocument/2006/customXml" ds:itemID="{49519866-34AF-403F-8D50-3CEE86216311}"/>
</file>

<file path=docProps/app.xml><?xml version="1.0" encoding="utf-8"?>
<Properties xmlns="http://schemas.openxmlformats.org/officeDocument/2006/extended-properties" xmlns:vt="http://schemas.openxmlformats.org/officeDocument/2006/docPropsVTypes">
  <Template>Normal</Template>
  <TotalTime>22</TotalTime>
  <Pages>1</Pages>
  <Words>512</Words>
  <Characters>2920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1</cp:revision>
  <dcterms:created xsi:type="dcterms:W3CDTF">2023-10-17T13:50:00Z</dcterms:created>
  <dcterms:modified xsi:type="dcterms:W3CDTF">2023-10-17T14:12:00Z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